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D7FE3">
      <w:pPr>
        <w:pStyle w:val="2"/>
        <w:numPr>
          <w:ilvl w:val="0"/>
          <w:numId w:val="0"/>
        </w:numPr>
        <w:spacing w:line="360" w:lineRule="auto"/>
        <w:jc w:val="left"/>
        <w:rPr>
          <w:rFonts w:hint="eastAsia"/>
          <w:sz w:val="32"/>
          <w:szCs w:val="32"/>
          <w:lang w:val="en-US" w:eastAsia="zh-CN"/>
        </w:rPr>
      </w:pPr>
      <w:r>
        <w:rPr>
          <w:rFonts w:hint="eastAsia"/>
          <w:sz w:val="32"/>
          <w:szCs w:val="32"/>
          <w:lang w:val="en-US" w:eastAsia="zh-CN"/>
        </w:rPr>
        <w:t>附件2：</w:t>
      </w:r>
    </w:p>
    <w:p w14:paraId="4E7C3DD4">
      <w:pPr>
        <w:pStyle w:val="2"/>
        <w:numPr>
          <w:ilvl w:val="0"/>
          <w:numId w:val="0"/>
        </w:numPr>
        <w:spacing w:line="360" w:lineRule="auto"/>
        <w:jc w:val="center"/>
        <w:rPr>
          <w:rFonts w:hint="default"/>
          <w:sz w:val="32"/>
          <w:szCs w:val="32"/>
          <w:lang w:val="en-US" w:eastAsia="zh-CN"/>
        </w:rPr>
      </w:pPr>
      <w:bookmarkStart w:id="0" w:name="_GoBack"/>
      <w:r>
        <w:rPr>
          <w:rFonts w:hint="eastAsia"/>
          <w:sz w:val="32"/>
          <w:szCs w:val="32"/>
          <w:lang w:val="en-US" w:eastAsia="zh-CN"/>
        </w:rPr>
        <w:t>设备功能需求参数</w:t>
      </w:r>
    </w:p>
    <w:bookmarkEnd w:id="0"/>
    <w:tbl>
      <w:tblPr>
        <w:tblStyle w:val="3"/>
        <w:tblpPr w:leftFromText="180" w:rightFromText="180" w:vertAnchor="text" w:horzAnchor="page" w:tblpXSpec="center" w:tblpY="227"/>
        <w:tblOverlap w:val="never"/>
        <w:tblW w:w="10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412"/>
        <w:gridCol w:w="1023"/>
        <w:gridCol w:w="996"/>
        <w:gridCol w:w="3429"/>
        <w:gridCol w:w="1454"/>
      </w:tblGrid>
      <w:tr w14:paraId="076F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7" w:type="dxa"/>
            <w:vAlign w:val="center"/>
          </w:tcPr>
          <w:p w14:paraId="19E97C38">
            <w:pPr>
              <w:spacing w:line="360" w:lineRule="auto"/>
              <w:jc w:val="center"/>
              <w:rPr>
                <w:rFonts w:hint="eastAsia" w:ascii="宋体" w:hAnsi="宋体" w:cs="宋体" w:eastAsiaTheme="minorEastAsia"/>
                <w:b/>
                <w:bCs/>
                <w:lang w:val="en-US" w:eastAsia="zh-CN"/>
              </w:rPr>
            </w:pPr>
            <w:r>
              <w:rPr>
                <w:rFonts w:hint="eastAsia" w:ascii="宋体" w:hAnsi="宋体" w:cs="宋体"/>
                <w:b/>
                <w:bCs/>
                <w:lang w:val="en-US" w:eastAsia="zh-CN"/>
              </w:rPr>
              <w:t>序号</w:t>
            </w:r>
          </w:p>
        </w:tc>
        <w:tc>
          <w:tcPr>
            <w:tcW w:w="2412" w:type="dxa"/>
            <w:vAlign w:val="center"/>
          </w:tcPr>
          <w:p w14:paraId="786B2341">
            <w:pPr>
              <w:spacing w:line="360" w:lineRule="auto"/>
              <w:jc w:val="center"/>
              <w:rPr>
                <w:rFonts w:hint="eastAsia" w:ascii="宋体" w:hAnsi="宋体" w:cs="宋体" w:eastAsiaTheme="minorEastAsia"/>
                <w:b/>
                <w:bCs/>
                <w:lang w:val="en-US" w:eastAsia="zh-CN"/>
              </w:rPr>
            </w:pPr>
            <w:r>
              <w:rPr>
                <w:rFonts w:hint="eastAsia" w:ascii="宋体" w:hAnsi="宋体" w:cs="宋体"/>
                <w:b/>
                <w:bCs/>
                <w:lang w:val="en-US" w:eastAsia="zh-CN"/>
              </w:rPr>
              <w:t>设备名称</w:t>
            </w:r>
          </w:p>
        </w:tc>
        <w:tc>
          <w:tcPr>
            <w:tcW w:w="1023" w:type="dxa"/>
            <w:vAlign w:val="center"/>
          </w:tcPr>
          <w:p w14:paraId="46F1AF08">
            <w:pPr>
              <w:spacing w:line="360" w:lineRule="auto"/>
              <w:jc w:val="center"/>
              <w:rPr>
                <w:rFonts w:hint="eastAsia" w:ascii="宋体" w:hAnsi="宋体" w:cs="宋体"/>
                <w:b/>
                <w:bCs/>
              </w:rPr>
            </w:pPr>
            <w:r>
              <w:rPr>
                <w:rFonts w:hint="eastAsia" w:ascii="宋体" w:hAnsi="宋体" w:cs="宋体"/>
                <w:b/>
                <w:bCs/>
              </w:rPr>
              <w:t>数量</w:t>
            </w:r>
          </w:p>
        </w:tc>
        <w:tc>
          <w:tcPr>
            <w:tcW w:w="996" w:type="dxa"/>
            <w:vAlign w:val="center"/>
          </w:tcPr>
          <w:p w14:paraId="529CEE09">
            <w:pPr>
              <w:spacing w:line="360" w:lineRule="auto"/>
              <w:jc w:val="center"/>
              <w:rPr>
                <w:rFonts w:hint="eastAsia" w:ascii="宋体" w:hAnsi="宋体" w:cs="宋体"/>
                <w:b/>
                <w:bCs/>
              </w:rPr>
            </w:pPr>
            <w:r>
              <w:rPr>
                <w:rFonts w:hint="eastAsia" w:ascii="宋体" w:hAnsi="宋体" w:cs="宋体"/>
                <w:b/>
                <w:bCs/>
              </w:rPr>
              <w:t>单位</w:t>
            </w:r>
          </w:p>
        </w:tc>
        <w:tc>
          <w:tcPr>
            <w:tcW w:w="3429" w:type="dxa"/>
            <w:vAlign w:val="center"/>
          </w:tcPr>
          <w:p w14:paraId="45EA4573">
            <w:pPr>
              <w:spacing w:line="360" w:lineRule="auto"/>
              <w:jc w:val="center"/>
              <w:rPr>
                <w:rFonts w:hint="default" w:ascii="宋体" w:hAnsi="宋体" w:cs="宋体" w:eastAsiaTheme="minorEastAsia"/>
                <w:b/>
                <w:bCs/>
                <w:lang w:val="en-US" w:eastAsia="zh-CN"/>
              </w:rPr>
            </w:pPr>
            <w:r>
              <w:rPr>
                <w:rFonts w:hint="eastAsia"/>
                <w:b/>
                <w:bCs/>
                <w:lang w:val="en-US" w:eastAsia="zh-CN"/>
              </w:rPr>
              <w:t>用途功能需求概述</w:t>
            </w:r>
          </w:p>
        </w:tc>
        <w:tc>
          <w:tcPr>
            <w:tcW w:w="1454" w:type="dxa"/>
            <w:vAlign w:val="center"/>
          </w:tcPr>
          <w:p w14:paraId="6D833B14">
            <w:pPr>
              <w:spacing w:line="360" w:lineRule="auto"/>
              <w:jc w:val="center"/>
              <w:rPr>
                <w:rFonts w:hint="eastAsia" w:ascii="宋体" w:hAnsi="宋体" w:cs="宋体"/>
                <w:b/>
                <w:bCs/>
                <w:lang w:val="en-US" w:eastAsia="zh-CN"/>
              </w:rPr>
            </w:pPr>
            <w:r>
              <w:rPr>
                <w:rFonts w:hint="eastAsia" w:ascii="宋体" w:hAnsi="宋体" w:cs="宋体"/>
                <w:b/>
                <w:bCs/>
                <w:lang w:val="en-US" w:eastAsia="zh-CN"/>
              </w:rPr>
              <w:t>备注</w:t>
            </w:r>
          </w:p>
        </w:tc>
      </w:tr>
      <w:tr w14:paraId="49DB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7" w:type="dxa"/>
            <w:vAlign w:val="center"/>
          </w:tcPr>
          <w:p w14:paraId="2AE71B5D">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p>
        </w:tc>
        <w:tc>
          <w:tcPr>
            <w:tcW w:w="2412" w:type="dxa"/>
            <w:vAlign w:val="center"/>
          </w:tcPr>
          <w:p w14:paraId="1C412161">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视野计</w:t>
            </w:r>
          </w:p>
        </w:tc>
        <w:tc>
          <w:tcPr>
            <w:tcW w:w="1023" w:type="dxa"/>
            <w:vAlign w:val="center"/>
          </w:tcPr>
          <w:p w14:paraId="442F7334">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p>
        </w:tc>
        <w:tc>
          <w:tcPr>
            <w:tcW w:w="996" w:type="dxa"/>
            <w:vAlign w:val="center"/>
          </w:tcPr>
          <w:p w14:paraId="6EB9B408">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3429" w:type="dxa"/>
            <w:vAlign w:val="center"/>
          </w:tcPr>
          <w:p w14:paraId="4C4218E6">
            <w:pPr>
              <w:spacing w:line="320" w:lineRule="exact"/>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视野计通过主观察觉一个确定的背景下试验刺激点的存在来评价视野的光灵敏度差。视野检查作为视觉功能检查的重要工具，其在现在眼科临床中不可或缺，它用于对职业机动车驾驶作业体检者视路疾病的判断和诊断，如青光眼、眼底病、视神经及中枢疾病等。同时，视野检查也有助于反应颅内视神经、中枢健康状况，对脑外科有用。</w:t>
            </w:r>
          </w:p>
        </w:tc>
        <w:tc>
          <w:tcPr>
            <w:tcW w:w="1454" w:type="dxa"/>
            <w:vAlign w:val="center"/>
          </w:tcPr>
          <w:p w14:paraId="25AD627C">
            <w:pPr>
              <w:spacing w:line="320" w:lineRule="exact"/>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wei197jing@163.com</w:t>
            </w:r>
          </w:p>
        </w:tc>
      </w:tr>
      <w:tr w14:paraId="39AB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27" w:type="dxa"/>
            <w:vAlign w:val="center"/>
          </w:tcPr>
          <w:p w14:paraId="1390E990">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w:t>
            </w:r>
          </w:p>
        </w:tc>
        <w:tc>
          <w:tcPr>
            <w:tcW w:w="2412" w:type="dxa"/>
            <w:vAlign w:val="center"/>
          </w:tcPr>
          <w:p w14:paraId="1D30C824">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眼压计</w:t>
            </w:r>
          </w:p>
        </w:tc>
        <w:tc>
          <w:tcPr>
            <w:tcW w:w="1023" w:type="dxa"/>
            <w:vAlign w:val="center"/>
          </w:tcPr>
          <w:p w14:paraId="3DD24D13">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p>
        </w:tc>
        <w:tc>
          <w:tcPr>
            <w:tcW w:w="996" w:type="dxa"/>
            <w:vAlign w:val="center"/>
          </w:tcPr>
          <w:p w14:paraId="33DAF2FB">
            <w:pPr>
              <w:spacing w:line="360" w:lineRule="auto"/>
              <w:jc w:val="cente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台</w:t>
            </w:r>
          </w:p>
        </w:tc>
        <w:tc>
          <w:tcPr>
            <w:tcW w:w="3429" w:type="dxa"/>
            <w:vAlign w:val="center"/>
          </w:tcPr>
          <w:p w14:paraId="1949A546">
            <w:pPr>
              <w:spacing w:line="320" w:lineRule="exact"/>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眼压计是眼科临床诊断、筛查、病情监测及手术期评估的专用医疗器械，核心用于精准测量眼球内部压力，为眼部疾病诊疗、视力健康管控提供关键生理数据支撑，主要用于激光作业体检者眼压测定。</w:t>
            </w:r>
          </w:p>
        </w:tc>
        <w:tc>
          <w:tcPr>
            <w:tcW w:w="1454" w:type="dxa"/>
            <w:vAlign w:val="center"/>
          </w:tcPr>
          <w:p w14:paraId="3CA2A1B5">
            <w:pPr>
              <w:spacing w:line="320" w:lineRule="exact"/>
              <w:jc w:val="left"/>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wei197jing@163.com</w:t>
            </w:r>
          </w:p>
        </w:tc>
      </w:tr>
    </w:tbl>
    <w:p w14:paraId="0A3F3C24">
      <w:pPr>
        <w:pStyle w:val="2"/>
        <w:numPr>
          <w:ilvl w:val="0"/>
          <w:numId w:val="0"/>
        </w:numPr>
        <w:spacing w:line="360" w:lineRule="auto"/>
        <w:jc w:val="left"/>
        <w:rPr>
          <w:rFonts w:hint="default"/>
          <w:sz w:val="15"/>
          <w:szCs w:val="15"/>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6BDD"/>
    <w:rsid w:val="02EA7B79"/>
    <w:rsid w:val="03733CB7"/>
    <w:rsid w:val="03E97670"/>
    <w:rsid w:val="072D4D2F"/>
    <w:rsid w:val="07367E38"/>
    <w:rsid w:val="084F5179"/>
    <w:rsid w:val="08AC0317"/>
    <w:rsid w:val="0D3533AF"/>
    <w:rsid w:val="0EB42931"/>
    <w:rsid w:val="0F6507E2"/>
    <w:rsid w:val="112C793F"/>
    <w:rsid w:val="139538A1"/>
    <w:rsid w:val="151450E0"/>
    <w:rsid w:val="152772DC"/>
    <w:rsid w:val="15C11DE1"/>
    <w:rsid w:val="17FD64CD"/>
    <w:rsid w:val="19AA3ACD"/>
    <w:rsid w:val="1A78074D"/>
    <w:rsid w:val="1AB41CE5"/>
    <w:rsid w:val="1C590F35"/>
    <w:rsid w:val="1D183933"/>
    <w:rsid w:val="1E4058C9"/>
    <w:rsid w:val="204C78C3"/>
    <w:rsid w:val="22465879"/>
    <w:rsid w:val="227A33FE"/>
    <w:rsid w:val="29176ECA"/>
    <w:rsid w:val="29DD7798"/>
    <w:rsid w:val="2AED0F8E"/>
    <w:rsid w:val="34022441"/>
    <w:rsid w:val="34830893"/>
    <w:rsid w:val="36904DEC"/>
    <w:rsid w:val="385160F9"/>
    <w:rsid w:val="3921693D"/>
    <w:rsid w:val="3A370447"/>
    <w:rsid w:val="3C9C7E7A"/>
    <w:rsid w:val="3D121CF5"/>
    <w:rsid w:val="41DD0B24"/>
    <w:rsid w:val="42562465"/>
    <w:rsid w:val="44242A3A"/>
    <w:rsid w:val="45F80164"/>
    <w:rsid w:val="470D5A6B"/>
    <w:rsid w:val="47931CE1"/>
    <w:rsid w:val="47FB3580"/>
    <w:rsid w:val="4C2E7AE3"/>
    <w:rsid w:val="590F466A"/>
    <w:rsid w:val="5A33357F"/>
    <w:rsid w:val="5D2E7178"/>
    <w:rsid w:val="5D4C069A"/>
    <w:rsid w:val="5FBE7D8F"/>
    <w:rsid w:val="60946FB8"/>
    <w:rsid w:val="61297BC9"/>
    <w:rsid w:val="62A36DC8"/>
    <w:rsid w:val="671958AB"/>
    <w:rsid w:val="696A6A76"/>
    <w:rsid w:val="718B30F9"/>
    <w:rsid w:val="72FF70CC"/>
    <w:rsid w:val="75A74793"/>
    <w:rsid w:val="766B2934"/>
    <w:rsid w:val="78C576F2"/>
    <w:rsid w:val="79DA536E"/>
    <w:rsid w:val="7B0A3A31"/>
    <w:rsid w:val="7B724874"/>
    <w:rsid w:val="7E49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1631</Words>
  <Characters>1769</Characters>
  <Lines>0</Lines>
  <Paragraphs>0</Paragraphs>
  <TotalTime>0</TotalTime>
  <ScaleCrop>false</ScaleCrop>
  <LinksUpToDate>false</LinksUpToDate>
  <CharactersWithSpaces>1804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2026-02-28T07:19:00Z</dcterms:created>
  <dc:creator>sxx</dc:creator>
  <cp:lastModifiedBy>谢婷</cp:lastModifiedBy>
  <cp:lastPrinted>2026-03-31T03:15:00Z</cp:lastPrinted>
  <dcterms:modified xsi:type="dcterms:W3CDTF">2026-04-22T03:29:25Z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eyJoZGlkIjoiZDkyMmJjZTE2MTVjZDUyYjFlMzE0YmUxOWU3YWVlNmUiLCJ1c2VySWQiOiI3NTk3NDcwNDkifQ==</vt:lpwstr>
  </property>
  <property fmtid="{D5CDD505-2E9C-101B-9397-08002B2CF9AE}" pid="4" name="ICV">
    <vt:lpwstr>52E250C74A444D5BB03DA741CC856295_13</vt:lpwstr>
  </property>
</Properties>
</file>